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74"/>
        <w:gridCol w:w="13631"/>
      </w:tblGrid>
      <w:tr>
        <w:trPr>
          <w:trHeight w:val="290" w:hRule="atLeast"/>
        </w:trPr>
        <w:tc>
          <w:tcPr>
            <w:tcW w:w="1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b/>
                <w:bCs/>
                <w:u w:val="single" w:color="FFFFFF"/>
                <w:lang w:val="fr-FR"/>
              </w:rPr>
              <w:t xml:space="preserve">CP - </w:t>
            </w:r>
            <w:r>
              <w:rPr>
                <w:rStyle w:val="Aucun"/>
                <w:b/>
                <w:bCs/>
                <w:u w:val="single" w:color="FFFFFF"/>
                <w:shd w:fill="auto" w:val="clear"/>
                <w:lang w:val="fr-FR"/>
              </w:rPr>
              <w:t>Planification des présentations  PERIODE 1</w:t>
            </w:r>
          </w:p>
        </w:tc>
      </w:tr>
      <w:tr>
        <w:trPr>
          <w:trHeight w:val="4291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Numération et calcul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5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grand récit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Numération de 1 à 10</w:t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barres numériques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chiffres rugueux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Association barres numériques et chiffres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fuseaux</w:t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 jeu des jetons</w:t>
            </w:r>
            <w:r>
              <w:rPr>
                <w:rStyle w:val="Aucun"/>
                <w:rFonts w:eastAsia="Calibri" w:cs="Calibri" w:ascii="Calibri" w:hAnsi="Calibri"/>
                <w:sz w:val="20"/>
                <w:szCs w:val="20"/>
                <w:shd w:fill="auto" w:val="clear"/>
                <w:lang w:val="fr-FR"/>
              </w:rPr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jeu de mémoire des nombres</w:t>
              <w:tab/>
              <w:t xml:space="preserve">    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Réglettes Cuisenaires pour la maison des nombres </w:t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Introduction du système décimal et les opérations</w:t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 système décimal : Première présentation, quantités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système décimal : Première présentation, symboles</w:t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 système décimal : la formation des grands nombres  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opérations avec le système décimal : l'addition statique 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opérations avec le système décimal : la soustraction statique - 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La numération de 11 à l'infini</w:t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Numération de 11à 19 : les quantités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Numération de 11à 19 : la 1</w:t>
            </w:r>
            <w:r>
              <w:rPr>
                <w:rStyle w:val="Aucun"/>
                <w:rFonts w:ascii="Calibri" w:hAnsi="Calibri"/>
                <w:shd w:fill="auto" w:val="clear"/>
                <w:vertAlign w:val="superscript"/>
                <w:lang w:val="fr-FR"/>
              </w:rPr>
              <w:t>ère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table de Seguin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Numération de 11à 19 : association symboles et quantités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Mémorisation des opérations</w:t>
              <w:tab/>
            </w:r>
            <w:r>
              <w:rPr>
                <w:rStyle w:val="Aucun"/>
                <w:rFonts w:ascii="Calibri" w:hAnsi="Calibri"/>
                <w:b/>
                <w:bCs/>
                <w:i w:val="false"/>
                <w:iCs w:val="false"/>
                <w:sz w:val="24"/>
                <w:szCs w:val="24"/>
                <w:shd w:fill="auto" w:val="clear"/>
                <w:lang w:val="fr-FR"/>
              </w:rPr>
              <w:t>L'addition</w:t>
              <w:tab/>
            </w:r>
            <w:r>
              <w:rPr>
                <w:rStyle w:val="Aucun"/>
                <w:rFonts w:eastAsia="Calibri" w:cs="Calibri" w:ascii="Calibri" w:hAnsi="Calibri"/>
                <w:b/>
                <w:bCs/>
                <w:i w:val="false"/>
                <w:iCs w:val="false"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Jeu du serpent de l'addition (si les enfants comptent bien de 1 à 10)</w:t>
            </w:r>
          </w:p>
        </w:tc>
      </w:tr>
      <w:tr>
        <w:trPr>
          <w:trHeight w:val="299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Géométrie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 cabinet de géométrie 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solides géométriques  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triangles constructeurs – boîte 1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cube du binôme </w:t>
            </w:r>
          </w:p>
        </w:tc>
      </w:tr>
      <w:tr>
        <w:trPr>
          <w:trHeight w:val="1842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Langage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b/>
                <w:b/>
                <w:bCs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Lecture/écriture 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Ka et le papier qui parle (1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ère</w:t>
            </w:r>
            <w:r>
              <w:rPr>
                <w:rStyle w:val="Aucun"/>
                <w:shd w:fill="auto" w:val="clear"/>
                <w:lang w:val="fr-FR"/>
              </w:rPr>
              <w:t xml:space="preserve"> semaine)   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Priorité à la lecture et l’écriture (e/l/i/u/t/b – le/elle/il – c/o/a/d – lettres muettes – é/ou/oi/ai – le NOM et son symbole)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Jeu d'analyse des sons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Lettres rugueuses </w:t>
              <w:tab/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alphabets mobiles 1 et 2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Enrichissement du vocabulaire</w:t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shd w:fill="auto" w:val="clear"/>
                <w:lang w:val="fr-FR"/>
              </w:rPr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bibliothèques</w:t>
              <w:tab/>
              <w:t xml:space="preserve">     </w:t>
            </w:r>
            <w:r>
              <w:rPr>
                <w:rStyle w:val="Aucun"/>
                <w:shd w:fill="auto" w:val="clear"/>
                <w:lang w:val="fr-FR"/>
              </w:rPr>
              <w:t>GR 4 sur l’écriture (3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semaine)     Lecture d’un documentaire et création collective d’un exposé</w:t>
            </w:r>
          </w:p>
        </w:tc>
      </w:tr>
      <w:tr>
        <w:trPr>
          <w:trHeight w:val="54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QLM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1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er</w:t>
            </w:r>
            <w:r>
              <w:rPr>
                <w:rStyle w:val="Aucun"/>
                <w:shd w:fill="auto" w:val="clear"/>
                <w:lang w:val="fr-FR"/>
              </w:rPr>
              <w:t xml:space="preserve"> grand récit GR1 (1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er</w:t>
            </w:r>
            <w:r>
              <w:rPr>
                <w:rStyle w:val="Aucun"/>
                <w:shd w:fill="auto" w:val="clear"/>
                <w:lang w:val="fr-FR"/>
              </w:rPr>
              <w:t xml:space="preserve"> ou 2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jour)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Géographie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Astronomie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Physique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Chimie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Météorologie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L'arche romane</w:t>
            </w:r>
          </w:p>
        </w:tc>
      </w:tr>
      <w:tr>
        <w:trPr>
          <w:trHeight w:val="632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Musique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boîtes à bruits 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hd w:fill="auto" w:val="clear"/>
                <w:lang w:val="fr-FR"/>
              </w:rPr>
              <w:t xml:space="preserve">Les clochettes </w:t>
            </w:r>
          </w:p>
        </w:tc>
      </w:tr>
      <w:tr>
        <w:trPr>
          <w:trHeight w:val="975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Arts visuels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 xml:space="preserve">Palette d’aquarelles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poinçonnage 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couleurs boîte 3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Formes à dessin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mélanges des encres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superposition des couleurs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broderie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couture d’un bouton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tricotin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scoubidou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tricot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EPS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>Jeux coopératifs</w:t>
            </w:r>
          </w:p>
        </w:tc>
      </w:tr>
      <w:tr>
        <w:trPr>
          <w:trHeight w:val="57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Lectures, chants et poésies offerts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 xml:space="preserve">Sépulvéda « histoire de la mouette et du chat qui lui apprit à voler » / Poésies de Nino / </w:t>
            </w:r>
          </w:p>
        </w:tc>
      </w:tr>
      <w:tr>
        <w:trPr>
          <w:trHeight w:val="57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Divers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720" w:right="0" w:hanging="360"/>
              <w:rPr>
                <w:lang w:val="fr-FR"/>
              </w:rPr>
            </w:pPr>
            <w:r>
              <w:rPr>
                <w:rStyle w:val="Aucun"/>
                <w:shd w:fill="auto" w:val="clear"/>
                <w:lang w:val="fr-FR"/>
              </w:rPr>
              <w:t>Evaluations personnelles et nationales / Balayer et ramasser la poussière / rouler un tapis / fabriquer un livret / tenir un crayon / se laver les mains / aller aux toilettes / se ranger et avancer / signal de l’écoute collective / parler / se déplacer</w:t>
            </w:r>
          </w:p>
        </w:tc>
      </w:tr>
    </w:tbl>
    <w:p>
      <w:pPr>
        <w:pStyle w:val="Corps"/>
        <w:widowControl w:val="false"/>
        <w:rPr/>
      </w:pPr>
      <w:r>
        <w:rPr/>
      </w:r>
    </w:p>
    <w:p>
      <w:pPr>
        <w:pStyle w:val="Corps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Corps"/>
        <w:rPr/>
      </w:pPr>
      <w:r>
        <w:rPr/>
      </w:r>
      <w:r>
        <w:br w:type="page"/>
      </w:r>
    </w:p>
    <w:p>
      <w:pPr>
        <w:pStyle w:val="Corps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tbl>
      <w:tblPr>
        <w:tblW w:w="157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74"/>
        <w:gridCol w:w="13631"/>
      </w:tblGrid>
      <w:tr>
        <w:trPr>
          <w:trHeight w:val="290" w:hRule="atLeast"/>
        </w:trPr>
        <w:tc>
          <w:tcPr>
            <w:tcW w:w="1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b/>
                <w:bCs/>
                <w:u w:val="single" w:color="FFFFFF"/>
                <w:lang w:val="fr-FR"/>
              </w:rPr>
              <w:t xml:space="preserve">CP - </w:t>
            </w:r>
            <w:r>
              <w:rPr>
                <w:rStyle w:val="Aucun"/>
                <w:b/>
                <w:bCs/>
                <w:u w:val="single" w:color="FFFFFF"/>
                <w:shd w:fill="auto" w:val="clear"/>
                <w:lang w:val="fr-FR"/>
              </w:rPr>
              <w:t>Planification des présentations  PERIODE 2</w:t>
            </w:r>
          </w:p>
        </w:tc>
      </w:tr>
      <w:tr>
        <w:trPr>
          <w:trHeight w:val="3202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Numération et calcul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Introduction du système décimal et les opérations</w:t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opérations avec le système décimal : l'addition dynamique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opérations avec le système décimal : la soustraction dynamique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     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timbres : l'addition  statique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timbres : La soustraction statique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z w:val="20"/>
                <w:szCs w:val="20"/>
                <w:shd w:fill="auto" w:val="clear"/>
              </w:rPr>
            </w:pPr>
            <w:r>
              <w:rPr>
                <w:rStyle w:val="Aucun"/>
                <w:rFonts w:ascii="Calibri" w:hAnsi="Calibri"/>
                <w:sz w:val="24"/>
                <w:szCs w:val="24"/>
                <w:shd w:fill="auto" w:val="clear"/>
                <w:lang w:val="fr-FR"/>
              </w:rPr>
              <w:t>Numération de 11à 99 : la 2</w:t>
            </w:r>
            <w:r>
              <w:rPr>
                <w:rStyle w:val="Aucun"/>
                <w:rFonts w:ascii="Calibri" w:hAnsi="Calibri"/>
                <w:sz w:val="24"/>
                <w:szCs w:val="24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z w:val="24"/>
                <w:szCs w:val="24"/>
                <w:shd w:fill="auto" w:val="clear"/>
                <w:lang w:val="fr-FR"/>
              </w:rPr>
              <w:t>table de Seguin</w:t>
            </w:r>
            <w:r>
              <w:rPr>
                <w:rStyle w:val="Aucun"/>
                <w:rFonts w:eastAsia="Calibri" w:cs="Calibri" w:ascii="Calibri" w:hAnsi="Calibri"/>
                <w:sz w:val="20"/>
                <w:szCs w:val="20"/>
                <w:shd w:fill="auto" w:val="clear"/>
                <w:lang w:val="fr-FR"/>
              </w:rPr>
              <w:tab/>
              <w:t>le nom des dizaines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Mémorisation des opérations</w:t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4"/>
                <w:szCs w:val="24"/>
                <w:shd w:fill="auto" w:val="clear"/>
                <w:lang w:val="fr-FR"/>
              </w:rPr>
              <w:t>L'addition</w:t>
              <w:tab/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sz w:val="24"/>
                <w:szCs w:val="24"/>
                <w:shd w:fill="auto" w:val="clear"/>
                <w:lang w:val="fr-FR"/>
              </w:rPr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 w:val="false"/>
                <w:bCs w:val="false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Tableau d'addition – contrôle 1 et 2</w:t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  <w:tab/>
              <w:tab/>
              <w:tab/>
              <w:tab/>
              <w:tab/>
              <w:tab/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z w:val="26"/>
                <w:szCs w:val="26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4"/>
                <w:szCs w:val="24"/>
                <w:shd w:fill="auto" w:val="clear"/>
                <w:lang w:val="fr-FR"/>
              </w:rPr>
              <w:t>La soustraction</w:t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sz w:val="26"/>
                <w:szCs w:val="26"/>
                <w:shd w:fill="auto" w:val="clear"/>
                <w:lang w:val="fr-FR"/>
              </w:rPr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sz w:val="24"/>
                <w:szCs w:val="24"/>
                <w:shd w:fill="auto" w:val="clear"/>
                <w:lang w:val="fr-FR"/>
              </w:rPr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Tableau de la soustraction – contrôle 1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Géométrie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triangles constructeurs – boîte 2    / Le cube du trinôme </w:t>
            </w:r>
          </w:p>
        </w:tc>
      </w:tr>
      <w:tr>
        <w:trPr>
          <w:trHeight w:val="1737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Langage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b/>
                <w:b/>
                <w:bCs/>
                <w:shd w:fill="auto" w:val="clear"/>
              </w:rPr>
            </w:pPr>
            <w:r>
              <w:rPr>
                <w:rStyle w:val="Aucun"/>
                <w:b/>
                <w:bCs/>
                <w:shd w:fill="auto" w:val="clear"/>
                <w:lang w:val="fr-FR"/>
              </w:rPr>
              <w:t>Lecture/écriture 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Priorité à la lecture et l’écriture (n/m/r/s – un/une – noms féminins et masculins – l’adjectif – et/est/les/des/mes/tes – noms singuliers et pluriels – conjonctions et /ou – ordres – p/v/h/ch – le verbe – ordres avec verbes à l’impératif – an/on/in/e=é/é – prépositions sur/sous/dans/contre/devant/avec)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Préparation directe à l'écriture et la lecture</w:t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pochettes de lecture</w:t>
            </w:r>
          </w:p>
        </w:tc>
      </w:tr>
      <w:tr>
        <w:trPr>
          <w:trHeight w:val="582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QLM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2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grand récit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les besoins de l’Homme (4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semaine voire même en deuxième période)</w:t>
            </w:r>
          </w:p>
          <w:p>
            <w:pPr>
              <w:pStyle w:val="Corps"/>
              <w:widowControl w:val="false"/>
              <w:numPr>
                <w:ilvl w:val="0"/>
                <w:numId w:val="2"/>
              </w:numPr>
              <w:bidi w:val="0"/>
              <w:ind w:left="720" w:right="0" w:hanging="720"/>
              <w:jc w:val="left"/>
              <w:rPr>
                <w:rFonts w:ascii="Calibri" w:hAnsi="Calibri"/>
                <w:lang w:val="fr-F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 globe lisse / rugueux  (en lien avec le GR1)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globe coloré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planisphère 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Musique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>Les notes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Arts visuels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EPS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Lectures, chants et poésies offerts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 xml:space="preserve">Saint-Exupéry « Le petit prince » / la mélodie du bonheur / 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Divers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>Ateliers philo</w:t>
            </w:r>
          </w:p>
        </w:tc>
      </w:tr>
    </w:tbl>
    <w:p>
      <w:pPr>
        <w:pStyle w:val="Corps"/>
        <w:widowControl w:val="false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Corps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Corps"/>
        <w:rPr/>
      </w:pPr>
      <w:r>
        <w:rPr/>
      </w:r>
      <w:r>
        <w:br w:type="page"/>
      </w:r>
    </w:p>
    <w:tbl>
      <w:tblPr>
        <w:tblW w:w="157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74"/>
        <w:gridCol w:w="13631"/>
      </w:tblGrid>
      <w:tr>
        <w:trPr>
          <w:trHeight w:val="290" w:hRule="atLeast"/>
        </w:trPr>
        <w:tc>
          <w:tcPr>
            <w:tcW w:w="1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pageBreakBefore/>
              <w:widowControl w:val="false"/>
              <w:jc w:val="center"/>
              <w:rPr/>
            </w:pPr>
            <w:r>
              <w:rPr>
                <w:b/>
                <w:bCs/>
                <w:u w:val="single" w:color="FFFFFF"/>
                <w:lang w:val="fr-FR"/>
              </w:rPr>
              <w:t xml:space="preserve">CP - </w:t>
            </w:r>
            <w:r>
              <w:rPr>
                <w:rStyle w:val="Aucun"/>
                <w:b/>
                <w:bCs/>
                <w:u w:val="single" w:color="FFFFFF"/>
                <w:shd w:fill="auto" w:val="clear"/>
                <w:lang w:val="fr-FR"/>
              </w:rPr>
              <w:t>Planification des présentations  PERIODE 3</w:t>
            </w:r>
          </w:p>
        </w:tc>
      </w:tr>
      <w:tr>
        <w:trPr>
          <w:trHeight w:val="4719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Numération et calcul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Introduction du système décimal et les opérations</w:t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opérations avec le système décimal : la multiplication statique - dynamique</w:t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opérations avec le système décimal : la division statique - dynamique</w:t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timbres : l'addition dynamique</w:t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timbres : La soustraction dynamique</w:t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shd w:fill="auto" w:val="clear"/>
                <w:lang w:val="fr-FR"/>
              </w:rPr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 des points 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     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Des kits (unités dizaines) pour l’entraînement aux calculs 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La numération de 11 à l'infini</w:t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fr-FR"/>
              </w:rPr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Numération de 11à 99 : la 2</w:t>
            </w:r>
            <w:r>
              <w:rPr>
                <w:rStyle w:val="Aucun"/>
                <w:rFonts w:ascii="Calibri" w:hAnsi="Calibri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 de Seguin</w:t>
            </w:r>
            <w:r>
              <w:rPr>
                <w:rStyle w:val="Aucun"/>
                <w:rFonts w:eastAsia="Calibri" w:cs="Calibri" w:ascii="Calibri" w:hAnsi="Calibri"/>
                <w:sz w:val="20"/>
                <w:szCs w:val="20"/>
                <w:shd w:fill="auto" w:val="clear"/>
                <w:lang w:val="fr-FR"/>
              </w:rPr>
              <w:tab/>
              <w:t xml:space="preserve"> le nom des nombres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La chaîne de 100 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Compter en sautant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Mémorisation des opérations</w:t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 w:val="false"/>
                <w:iCs w:val="false"/>
                <w:sz w:val="24"/>
                <w:szCs w:val="24"/>
                <w:shd w:fill="auto" w:val="clear"/>
                <w:lang w:val="fr-FR"/>
              </w:rPr>
              <w:t>L'addition</w:t>
              <w:tab/>
            </w:r>
            <w:r>
              <w:rPr>
                <w:rStyle w:val="Aucun"/>
                <w:rFonts w:eastAsia="Calibri" w:cs="Calibri" w:ascii="Calibri" w:hAnsi="Calibri"/>
                <w:b/>
                <w:bCs/>
                <w:i w:val="false"/>
                <w:iCs w:val="false"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fr-FR"/>
              </w:rPr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Tables de mémorisation 1, 2, 3, 4</w:t>
            </w:r>
            <w:r>
              <w:rPr>
                <w:rStyle w:val="Aucun"/>
                <w:rFonts w:eastAsia="Calibri" w:cs="Calibri" w:ascii="Calibri" w:hAnsi="Calibri"/>
                <w:sz w:val="20"/>
                <w:szCs w:val="20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z w:val="26"/>
                <w:szCs w:val="26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4"/>
                <w:szCs w:val="24"/>
                <w:shd w:fill="auto" w:val="clear"/>
                <w:lang w:val="fr-FR"/>
              </w:rPr>
              <w:t>La soustraction</w:t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sz w:val="26"/>
                <w:szCs w:val="26"/>
                <w:shd w:fill="auto" w:val="clear"/>
                <w:lang w:val="fr-FR"/>
              </w:rPr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Jeu du serpent de la soustraction</w:t>
            </w:r>
          </w:p>
        </w:tc>
      </w:tr>
      <w:tr>
        <w:trPr>
          <w:trHeight w:val="1157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Géométrie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triangles constructeurs – boîte 3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triangles constructeurs – boîte 4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triangles constructeurs – boîte 5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triangles constructeurs – boîte 6 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Langage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>Priorité à la lecture et l’écriture (j/f/g – k/q/qu/z/x/y/w – dix/six – pluriels en x – s=z/c=s/g=j – eu/gn/y/il/ille )</w:t>
            </w:r>
          </w:p>
        </w:tc>
      </w:tr>
      <w:tr>
        <w:trPr>
          <w:trHeight w:val="1437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QLM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>
                <w:lang w:val="fr-FR"/>
              </w:rPr>
            </w:pPr>
            <w:r>
              <w:rPr>
                <w:rStyle w:val="Aucun"/>
                <w:shd w:fill="auto" w:val="clear"/>
                <w:lang w:val="fr-FR"/>
              </w:rPr>
              <w:t>GR3 (5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et 6</w:t>
            </w:r>
            <w:r>
              <w:rPr>
                <w:rStyle w:val="Aucun"/>
                <w:shd w:fill="auto" w:val="clear"/>
                <w:vertAlign w:val="superscript"/>
                <w:lang w:val="fr-FR"/>
              </w:rPr>
              <w:t>ème</w:t>
            </w:r>
            <w:r>
              <w:rPr>
                <w:rStyle w:val="Aucun"/>
                <w:shd w:fill="auto" w:val="clear"/>
                <w:lang w:val="fr-FR"/>
              </w:rPr>
              <w:t xml:space="preserve"> semaine et peut être décalé en janvier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 cabinet de botanique 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contrastes de la terre et de l'eau 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puzzles des continents avec nom des pays et des capitales (tickets de lecture pour les pays  et drapeaux et pâte à fixe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Les drapeaux  </w:t>
            </w:r>
          </w:p>
        </w:tc>
      </w:tr>
      <w:tr>
        <w:trPr>
          <w:trHeight w:val="293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Musique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 xml:space="preserve">Les portées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composition</w:t>
            </w:r>
          </w:p>
        </w:tc>
      </w:tr>
      <w:tr>
        <w:trPr>
          <w:trHeight w:val="573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Arts visuels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ind w:left="720" w:right="0" w:hanging="360"/>
              <w:rPr>
                <w:lang w:val="fr-FR"/>
              </w:rPr>
            </w:pPr>
            <w:r>
              <w:rPr>
                <w:rStyle w:val="Aucun"/>
                <w:shd w:fill="auto" w:val="clear"/>
                <w:lang w:val="fr-FR"/>
              </w:rPr>
              <w:t>film d’animation</w:t>
            </w:r>
          </w:p>
          <w:p>
            <w:pPr>
              <w:pStyle w:val="ListParagraph"/>
              <w:widowControl w:val="false"/>
              <w:bidi w:val="0"/>
              <w:ind w:left="720" w:right="0" w:hanging="0"/>
              <w:jc w:val="left"/>
              <w:rPr/>
            </w:pP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shd w:fill="auto" w:val="clear"/>
                <w:lang w:val="fr-FR"/>
              </w:rPr>
              <w:t xml:space="preserve">thaumatrope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flipbook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shd w:fill="auto" w:val="clear"/>
                <w:lang w:val="fr-FR"/>
              </w:rPr>
              <w:t xml:space="preserve"> caméra Hue        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EPS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Lectures, chants et poésies offerts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Divers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rps"/>
        <w:widowControl w:val="false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Corps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tbl>
      <w:tblPr>
        <w:tblW w:w="157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74"/>
        <w:gridCol w:w="13631"/>
      </w:tblGrid>
      <w:tr>
        <w:trPr>
          <w:trHeight w:val="290" w:hRule="atLeast"/>
        </w:trPr>
        <w:tc>
          <w:tcPr>
            <w:tcW w:w="1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b/>
                <w:bCs/>
                <w:u w:val="single" w:color="FFFFFF"/>
                <w:lang w:val="fr-FR"/>
              </w:rPr>
              <w:t xml:space="preserve">CP - </w:t>
            </w:r>
            <w:r>
              <w:rPr>
                <w:rStyle w:val="Aucun"/>
                <w:b/>
                <w:bCs/>
                <w:u w:val="single" w:color="FFFFFF"/>
                <w:shd w:fill="auto" w:val="clear"/>
                <w:lang w:val="fr-FR"/>
              </w:rPr>
              <w:t>Planification des présentations  PERIODE 4</w:t>
            </w:r>
          </w:p>
        </w:tc>
      </w:tr>
      <w:tr>
        <w:trPr>
          <w:trHeight w:val="3922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Numération et calcul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Introduction du système décimal et les opérations</w:t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timbres : La multiplication</w:t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statique - dynamique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Les timbres : La division statique - dynamique</w:t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La numération de 11 à l'infini</w:t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La chaîne de 1 000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Mémorisation des opérations</w:t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4"/>
                <w:szCs w:val="24"/>
                <w:shd w:fill="auto" w:val="clear"/>
                <w:lang w:val="fr-FR"/>
              </w:rPr>
              <w:t>La multiplication</w:t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sz w:val="24"/>
                <w:szCs w:val="24"/>
                <w:shd w:fill="auto" w:val="clear"/>
                <w:lang w:val="fr-FR"/>
              </w:rPr>
              <w:tab/>
            </w:r>
            <w:r>
              <w:rPr>
                <w:rStyle w:val="Aucun"/>
                <w:rFonts w:ascii="Calibri" w:hAnsi="Calibri"/>
                <w:b w:val="false"/>
                <w:bCs w:val="false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La mémorisation de la multiplication : les perles de couleur</w:t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4"/>
                <w:szCs w:val="24"/>
                <w:shd w:fill="auto" w:val="clear"/>
                <w:lang w:val="fr-FR"/>
              </w:rPr>
              <w:t>La division</w:t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    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Tableau de division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Passage à l’abstraction</w:t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b/>
                <w:bCs/>
                <w:i w:val="false"/>
                <w:iCs w:val="false"/>
                <w:sz w:val="26"/>
                <w:szCs w:val="26"/>
                <w:shd w:fill="auto" w:val="clear"/>
                <w:lang w:val="fr-FR"/>
              </w:rPr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 petit boulier,</w:t>
            </w:r>
            <w:r>
              <w:rPr>
                <w:rStyle w:val="Aucun"/>
                <w:rFonts w:ascii="Calibri" w:hAnsi="Calibri"/>
                <w:b/>
                <w:bCs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présentation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petit boulier : addition statique 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 petit boulier : soustraction statique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hiérarchies :</w:t>
            </w:r>
            <w:r>
              <w:rPr>
                <w:rStyle w:val="Aucun"/>
                <w:rFonts w:ascii="Calibri" w:hAnsi="Calibri"/>
                <w:b/>
                <w:bCs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quantités, symboles, association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Géométrie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28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Langage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Priorité à la lecture et l’écriture  (en – adverbes – reprendre toutes les natures de mots avec les sons complexes)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Enrichissement du vocabulaire</w:t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images classifiées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Préparation directe à l'écriture et la lecture</w:t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  <w:lang w:val="fr-FR"/>
              </w:rPr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pochettes d'homophonie</w:t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36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Analyse de la lecture</w:t>
            </w:r>
            <w:r>
              <w:rPr>
                <w:rStyle w:val="Aucun"/>
                <w:rFonts w:eastAsia="Calibri" w:cs="Calibri" w:ascii="Calibri" w:hAnsi="Calibri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    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Analyse de la phrase - Stade I, différentes étapes 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8"/>
                <w:szCs w:val="28"/>
                <w:shd w:fill="auto" w:val="clear"/>
                <w:lang w:val="fr-FR"/>
              </w:rPr>
              <w:t>Conjugaisons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b/>
                <w:bCs/>
                <w:sz w:val="28"/>
                <w:szCs w:val="28"/>
                <w:shd w:fill="auto" w:val="clear"/>
                <w:lang w:val="fr-FR"/>
              </w:rPr>
              <w:t>( ?)</w:t>
            </w:r>
          </w:p>
        </w:tc>
      </w:tr>
      <w:tr>
        <w:trPr>
          <w:trHeight w:val="557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QLM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La carte de l'Europe : pays, capitales, drapeaux  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Les expériences sur fiches avec dessins et textes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Musique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>Rythme et valeur des notes (blanches, noires, croches, …)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Arts visuels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EPS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>Courses d’orientation</w:t>
            </w:r>
          </w:p>
        </w:tc>
      </w:tr>
      <w:tr>
        <w:trPr>
          <w:trHeight w:val="57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Lectures, chants et poésies offerts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Divers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rps"/>
        <w:widowControl w:val="false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Corps"/>
        <w:rPr>
          <w:rStyle w:val="Aucu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tbl>
      <w:tblPr>
        <w:tblW w:w="1570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74"/>
        <w:gridCol w:w="13631"/>
      </w:tblGrid>
      <w:tr>
        <w:trPr>
          <w:trHeight w:val="290" w:hRule="atLeast"/>
        </w:trPr>
        <w:tc>
          <w:tcPr>
            <w:tcW w:w="1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b/>
                <w:bCs/>
                <w:u w:val="single" w:color="FFFFFF"/>
                <w:lang w:val="fr-FR"/>
              </w:rPr>
              <w:t xml:space="preserve">CP - </w:t>
            </w:r>
            <w:r>
              <w:rPr>
                <w:rStyle w:val="Aucun"/>
                <w:b/>
                <w:bCs/>
                <w:u w:val="single" w:color="FFFFFF"/>
                <w:shd w:fill="auto" w:val="clear"/>
                <w:lang w:val="fr-FR"/>
              </w:rPr>
              <w:t>Planification des présentations  PERIODE 5</w:t>
            </w:r>
          </w:p>
        </w:tc>
      </w:tr>
      <w:tr>
        <w:trPr>
          <w:trHeight w:val="3884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Numération et calcul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Mémorisation des opérations</w:t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i/>
                <w:iCs/>
                <w:sz w:val="24"/>
                <w:szCs w:val="24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z w:val="26"/>
                <w:szCs w:val="26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4"/>
                <w:szCs w:val="24"/>
                <w:shd w:fill="auto" w:val="clear"/>
                <w:lang w:val="fr-FR"/>
              </w:rPr>
              <w:t>La soustraction</w:t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sz w:val="26"/>
                <w:szCs w:val="26"/>
                <w:shd w:fill="auto" w:val="clear"/>
                <w:lang w:val="fr-FR"/>
              </w:rPr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sz w:val="24"/>
                <w:szCs w:val="24"/>
                <w:shd w:fill="auto" w:val="clear"/>
                <w:lang w:val="fr-FR"/>
              </w:rPr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Tables de mémorisation de la soustraction 1 et 2</w:t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z w:val="24"/>
                <w:szCs w:val="24"/>
                <w:shd w:fill="auto" w:val="clear"/>
                <w:lang w:val="fr-FR"/>
              </w:rPr>
              <w:t>La multiplication</w:t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sz w:val="24"/>
                <w:szCs w:val="24"/>
                <w:shd w:fill="auto" w:val="clear"/>
                <w:lang w:val="fr-FR"/>
              </w:rPr>
              <w:tab/>
            </w:r>
            <w:r>
              <w:rPr>
                <w:rStyle w:val="Aucun"/>
                <w:rFonts w:ascii="Calibri" w:hAnsi="Calibri"/>
                <w:b w:val="false"/>
                <w:bCs w:val="false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 tableau de multiplication – contrôle 1 et 2</w:t>
              <w:tab/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Tables de mémorisation de la multiplication 1, 2, 3 </w:t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shd w:fill="auto" w:val="clear"/>
                <w:lang w:val="fr-FR"/>
              </w:rPr>
              <w:t>La division</w:t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eastAsia="Calibri" w:cs="Calibri" w:ascii="Calibri" w:hAnsi="Calibri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Tables de mémorisation de la division 1 et 2</w:t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ascii="Calibri" w:hAnsi="Calibri"/>
                <w:sz w:val="20"/>
                <w:szCs w:val="20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Passage à l’abstraction</w:t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b/>
                <w:bCs/>
                <w:i w:val="false"/>
                <w:iCs w:val="false"/>
                <w:sz w:val="26"/>
                <w:szCs w:val="26"/>
                <w:shd w:fill="auto" w:val="clear"/>
                <w:lang w:val="fr-FR"/>
              </w:rPr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Le petit boulier : addition dynamique 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petit boulier : soustraction dynamique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 petit boulier : multiplication statique - dynamique</w:t>
              <w:tab/>
            </w:r>
            <w:r>
              <w:rPr>
                <w:rStyle w:val="Aucun"/>
                <w:rFonts w:eastAsia="Calibri" w:cs="Calibri" w:ascii="Calibri" w:hAnsi="Calibri"/>
                <w:b/>
                <w:bCs/>
                <w:sz w:val="26"/>
                <w:szCs w:val="26"/>
                <w:shd w:fill="auto" w:val="clear"/>
                <w:lang w:val="fr-FR"/>
              </w:rPr>
              <w:tab/>
              <w:tab/>
              <w:tab/>
              <w:tab/>
            </w:r>
            <w:r>
              <w:rPr>
                <w:rStyle w:val="Aucun"/>
                <w:rFonts w:ascii="Calibri" w:hAnsi="Calibri"/>
                <w:b/>
                <w:bCs/>
                <w:sz w:val="22"/>
                <w:szCs w:val="22"/>
                <w:shd w:fill="auto" w:val="clear"/>
                <w:lang w:val="fr-FR"/>
              </w:rPr>
              <w:t xml:space="preserve"> 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 grand boulier,</w:t>
            </w:r>
            <w:r>
              <w:rPr>
                <w:rStyle w:val="Aucun"/>
                <w:rFonts w:ascii="Calibri" w:hAnsi="Calibri"/>
                <w:b/>
                <w:bCs/>
                <w:shd w:fill="auto" w:val="clear"/>
                <w:lang w:val="fr-FR"/>
              </w:rPr>
              <w:t xml:space="preserve">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présentation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grand boulier : addition statique – dynamique  </w:t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Le grand boulier : soustraction statique /dynamique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Le grand boulier : multiplication statique - dynamique</w:t>
              <w:tab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Géométrie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9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Langage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Enrichissement du vocabulaire</w:t>
              <w:tab/>
              <w:tab/>
              <w:tab/>
              <w:tab/>
              <w:tab/>
              <w:tab/>
              <w:tab/>
            </w:r>
            <w:r>
              <w:rPr>
                <w:rStyle w:val="Aucun"/>
                <w:rFonts w:eastAsia="Calibri" w:cs="Calibri" w:ascii="Calibri" w:hAnsi="Calibri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La nomenclature classifiée</w:t>
            </w:r>
          </w:p>
          <w:p>
            <w:pPr>
              <w:pStyle w:val="Corps"/>
              <w:widowControl w:val="false"/>
              <w:bidi w:val="0"/>
              <w:ind w:left="0" w:right="0" w:hanging="0"/>
              <w:jc w:val="left"/>
              <w:rPr>
                <w:rStyle w:val="Aucun"/>
                <w:rFonts w:ascii="Calibri" w:hAnsi="Calibri" w:eastAsia="Calibri" w:cs="Calibri"/>
                <w:b/>
                <w:b/>
                <w:bCs/>
                <w:i/>
                <w:i/>
                <w:iCs/>
                <w:sz w:val="28"/>
                <w:szCs w:val="28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La nature des mots</w:t>
            </w:r>
            <w:r>
              <w:rPr>
                <w:rStyle w:val="Aucun"/>
                <w:rFonts w:eastAsia="Calibri" w:cs="Calibri" w:ascii="Calibri" w:hAnsi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L'article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L'adjectif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La conjonction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La préposition</w:t>
              <w:tab/>
            </w:r>
            <w:r>
              <w:rPr>
                <w:rStyle w:val="Aucun"/>
                <w:rFonts w:eastAsia="Wingdings" w:cs="Wingdings" w:ascii="Wingdings" w:hAnsi="Wingdings"/>
                <w:shd w:fill="auto" w:val="clear"/>
                <w:lang w:val="fr-FR"/>
              </w:rPr>
              <w:t>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L'adverbe</w:t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360" w:right="0" w:hanging="360"/>
              <w:jc w:val="left"/>
              <w:rPr>
                <w:rStyle w:val="Aucun"/>
                <w:rFonts w:ascii="Calibri" w:hAnsi="Calibri" w:eastAsia="Calibri" w:cs="Calibri"/>
                <w:shd w:fill="auto" w:val="clear"/>
              </w:rPr>
            </w:pPr>
            <w:r>
              <w:rPr>
                <w:rStyle w:val="Aucun"/>
                <w:rFonts w:ascii="Calibri" w:hAnsi="Calibri"/>
                <w:b/>
                <w:bCs/>
                <w:i/>
                <w:iCs/>
                <w:sz w:val="28"/>
                <w:szCs w:val="28"/>
                <w:shd w:fill="auto" w:val="clear"/>
                <w:lang w:val="fr-FR"/>
              </w:rPr>
              <w:t>Analyse de la lecture</w:t>
            </w:r>
            <w:r>
              <w:rPr>
                <w:rStyle w:val="Aucun"/>
                <w:rFonts w:eastAsia="Calibri" w:cs="Calibri" w:ascii="Calibri" w:hAnsi="Calibri"/>
                <w:shd w:fill="auto" w:val="clear"/>
                <w:lang w:val="fr-FR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Corps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 xml:space="preserve">      </w:t>
            </w:r>
            <w:r>
              <w:rPr>
                <w:rStyle w:val="Aucun"/>
                <w:rFonts w:ascii="Calibri" w:hAnsi="Calibri"/>
                <w:shd w:fill="auto" w:val="clear"/>
                <w:lang w:val="fr-FR"/>
              </w:rPr>
              <w:t>Analyse de la phrase - Stade II, différentes étapes 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QLM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Musique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rPr/>
            </w:pPr>
            <w:r>
              <w:rPr>
                <w:rStyle w:val="Aucun"/>
                <w:shd w:fill="auto" w:val="clear"/>
                <w:lang w:val="fr-FR"/>
              </w:rPr>
              <w:t>Rythme à coder avec des cartes</w:t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Arts visuels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EPS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Lectures, chants et poésies offerts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s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Divers</w:t>
            </w:r>
          </w:p>
        </w:tc>
        <w:tc>
          <w:tcPr>
            <w:tcW w:w="1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rps"/>
        <w:widowControl w:val="false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567" w:right="567" w:header="709" w:top="766" w:footer="709" w:bottom="76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Cambria">
    <w:charset w:val="01"/>
    <w:family w:val="roman"/>
    <w:pitch w:val="variable"/>
  </w:font>
  <w:font w:name="Wingdings">
    <w:charset w:val="02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auto"/>
    <w:pitch w:val="default"/>
  </w:font>
  <w:font w:name="Arial Unicode M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jc w:val="center"/>
      <w:rPr/>
    </w:pPr>
    <w:r>
      <w:rPr/>
      <w:t xml:space="preserve">Document élaboré par un groupe départemental de </w:t>
    </w:r>
    <w:r>
      <w:rPr>
        <w:i/>
        <w:iCs/>
      </w:rPr>
      <w:t>Public Montessori</w:t>
    </w:r>
    <w:r>
      <w:rPr/>
      <w:t xml:space="preserve">     </w:t>
    </w:r>
    <w:hyperlink r:id="rId1">
      <w:r>
        <w:rPr>
          <w:rStyle w:val="LienInternet"/>
        </w:rPr>
        <w:t>https://www.public-montessori.fr/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940"/>
        </w:tabs>
        <w:ind w:lef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1660"/>
        </w:tabs>
        <w:ind w:lef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2380"/>
        </w:tabs>
        <w:ind w:lef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3100"/>
        </w:tabs>
        <w:ind w:left="360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3820"/>
        </w:tabs>
        <w:ind w:left="43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4540"/>
        </w:tabs>
        <w:ind w:lef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5260"/>
        </w:tabs>
        <w:ind w:left="57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5980"/>
        </w:tabs>
        <w:ind w:left="64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ambria" w:hAnsi="Cambria" w:cs="Cambri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49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enInternet">
    <w:name w:val="Lien Internet"/>
    <w:rPr>
      <w:u w:val="single" w:color="FFFFFF"/>
    </w:rPr>
  </w:style>
  <w:style w:type="character" w:styleId="Aucun">
    <w:name w:val="Aucun"/>
    <w:qFormat/>
    <w:rPr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mbria" w:hAnsi="Cambri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720" w:right="0" w:hanging="0"/>
      <w:jc w:val="left"/>
    </w:pPr>
    <w:rPr>
      <w:rFonts w:ascii="Cambria" w:hAnsi="Cambri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public-montessori.f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LibreOffice/7.1.5.2$MacOSX_X86_64 LibreOffice_project/85f04e9f809797b8199d13c421bd8a2b025d52b5</Application>
  <AppVersion>15.0000</AppVersion>
  <Pages>8</Pages>
  <Words>1153</Words>
  <Characters>6109</Characters>
  <CharactersWithSpaces>7742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>Stéphanie Marchand</cp:lastModifiedBy>
  <dcterms:modified xsi:type="dcterms:W3CDTF">2023-11-05T08:22:55Z</dcterms:modified>
  <cp:revision>1</cp:revision>
  <dc:subject/>
  <dc:title/>
</cp:coreProperties>
</file>