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b/>
          <w:b/>
          <w:bCs/>
        </w:rPr>
      </w:pPr>
      <w:r>
        <w:rPr>
          <w:b/>
          <w:bCs/>
          <w:lang w:val="fr-FR"/>
        </w:rPr>
        <w:t>MATHEMATIQUES</w:t>
      </w:r>
    </w:p>
    <w:p>
      <w:pPr>
        <w:pStyle w:val="Standard"/>
        <w:rPr/>
      </w:pPr>
      <w:r>
        <w:rPr>
          <w:rStyle w:val="Aucun"/>
          <w:lang w:val="fr-FR"/>
        </w:rPr>
        <w:t>SC : Socle Commun</w:t>
      </w:r>
    </w:p>
    <w:p>
      <w:pPr>
        <w:pStyle w:val="Standard"/>
        <w:rPr/>
      </w:pPr>
      <w:r>
        <w:rPr>
          <w:rStyle w:val="Aucun"/>
          <w:outline w:val="false"/>
          <w:color w:val="2E74B5"/>
          <w:u w:val="none" w:color="2E74B5"/>
          <w:lang w:val="fr-FR"/>
          <w14:textFill>
            <w14:solidFill>
              <w14:srgbClr w14:val="2E74B5"/>
            </w14:solidFill>
          </w14:textFill>
        </w:rPr>
        <w:t>Cycle 2 /</w:t>
      </w:r>
      <w:r>
        <w:rPr>
          <w:rStyle w:val="Aucun"/>
          <w:lang w:val="fr-FR"/>
        </w:rPr>
        <w:t xml:space="preserve"> </w:t>
      </w:r>
      <w:r>
        <w:rPr>
          <w:rStyle w:val="Aucun"/>
          <w:outline w:val="false"/>
          <w:color w:val="FF3300"/>
          <w:u w:val="none" w:color="FF3300"/>
          <w:lang w:val="fr-FR"/>
          <w14:textFill>
            <w14:solidFill>
              <w14:srgbClr w14:val="FF3300"/>
            </w14:solidFill>
          </w14:textFill>
        </w:rPr>
        <w:t>Cycle 3</w:t>
      </w:r>
    </w:p>
    <w:p>
      <w:pPr>
        <w:pStyle w:val="Standard"/>
        <w:rPr>
          <w:rStyle w:val="Aucun"/>
          <w:sz w:val="32"/>
          <w:szCs w:val="32"/>
        </w:rPr>
      </w:pPr>
      <w:r>
        <w:rPr>
          <w:rStyle w:val="Aucun"/>
        </w:rPr>
        <w:tab/>
        <w:tab/>
        <w:tab/>
      </w:r>
      <w:r>
        <w:rPr>
          <w:rStyle w:val="Aucun"/>
          <w:rFonts w:eastAsia="Arial Unicode MS" w:cs="Arial Unicode MS" w:ascii="Arial Unicode MS" w:hAnsi="Arial Unicode MS"/>
          <w:b w:val="false"/>
          <w:bCs w:val="false"/>
          <w:i w:val="false"/>
          <w:iCs w:val="false"/>
          <w:sz w:val="32"/>
          <w:szCs w:val="32"/>
          <w:lang w:val="fr-FR"/>
        </w:rPr>
        <w:t>֍</w:t>
      </w:r>
      <w:r>
        <w:rPr>
          <w:rStyle w:val="Aucun"/>
          <w:sz w:val="32"/>
          <w:szCs w:val="32"/>
          <w:lang w:val="fr-FR"/>
        </w:rPr>
        <w:t> : notion à aborder pour les enfants n’ayant pas vécu la pédagogie Montessori en 3-6 ans.</w:t>
      </w:r>
    </w:p>
    <w:p>
      <w:pPr>
        <w:pStyle w:val="Standard"/>
        <w:rPr>
          <w:rStyle w:val="Aucun"/>
          <w:rFonts w:ascii="SimSun" w:hAnsi="SimSun" w:eastAsia="SimSun" w:cs="SimSun"/>
          <w:sz w:val="32"/>
          <w:szCs w:val="32"/>
        </w:rPr>
      </w:pPr>
      <w:r>
        <w:rPr>
          <w:rStyle w:val="Aucun"/>
          <w:sz w:val="32"/>
          <w:szCs w:val="32"/>
        </w:rPr>
        <w:tab/>
        <w:tab/>
        <w:tab/>
        <w:t>EN</w:t>
      </w:r>
      <w:r>
        <w:rPr>
          <w:rStyle w:val="Aucun"/>
          <w:sz w:val="32"/>
          <w:szCs w:val="32"/>
          <w:lang w:val="fr-FR"/>
        </w:rPr>
        <w:t> : niveau institutionnel auquel cette notion est programmée.</w:t>
      </w:r>
    </w:p>
    <w:p>
      <w:pPr>
        <w:pStyle w:val="Standard"/>
        <w:rPr/>
      </w:pPr>
      <w:r>
        <w:rPr/>
      </w:r>
    </w:p>
    <w:tbl>
      <w:tblPr>
        <w:tblW w:w="14572" w:type="dxa"/>
        <w:jc w:val="left"/>
        <w:tblInd w:w="216" w:type="dxa"/>
        <w:tblLayout w:type="fixed"/>
        <w:tblCellMar>
          <w:top w:w="80" w:type="dxa"/>
          <w:left w:w="80" w:type="dxa"/>
          <w:bottom w:w="80" w:type="dxa"/>
          <w:right w:w="80" w:type="dxa"/>
        </w:tblCellMar>
      </w:tblPr>
      <w:tblGrid>
        <w:gridCol w:w="2366"/>
        <w:gridCol w:w="2451"/>
        <w:gridCol w:w="4054"/>
        <w:gridCol w:w="1151"/>
        <w:gridCol w:w="1253"/>
        <w:gridCol w:w="1176"/>
        <w:gridCol w:w="930"/>
        <w:gridCol w:w="1189"/>
      </w:tblGrid>
      <w:tr>
        <w:trPr>
          <w:trHeight w:val="356" w:hRule="atLeast"/>
        </w:trPr>
        <w:tc>
          <w:tcPr>
            <w:tcW w:w="1457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NUMÉRATION</w:t>
            </w:r>
          </w:p>
        </w:tc>
      </w:tr>
      <w:tr>
        <w:trPr>
          <w:trHeight w:val="386" w:hRule="atLeast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B.O. 2016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CP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CE1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CE2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CM1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CM2</w:t>
            </w:r>
          </w:p>
        </w:tc>
      </w:tr>
      <w:tr>
        <w:trPr>
          <w:trHeight w:val="2290" w:hRule="atLeast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93" w:type="dxa"/>
              <w:right w:w="193" w:type="dxa"/>
            </w:tcMar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nombres de 1 à 100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fuseaux (remédiation association symbole quantité entre 0 et 9)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Utiliser diverses stratégies de dénombrement.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sz w:val="32"/>
                <w:szCs w:val="32"/>
                <w:shd w:fill="auto" w:val="clear"/>
                <w:lang w:val="fr-FR"/>
              </w:rPr>
            </w:pPr>
            <w:r>
              <w:rPr>
                <w:sz w:val="32"/>
                <w:szCs w:val="32"/>
                <w:shd w:fill="auto" w:val="clear"/>
                <w:lang w:val="fr-FR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jetons (dénombrement et travail sur pair/impair)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Utiliser diverses stratégies de dénombrement.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Passer d'une représentation à une autre.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02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tableau des 100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10" w:hRule="atLeast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left w:w="193" w:type="dxa"/>
              <w:right w:w="193" w:type="dxa"/>
            </w:tcMar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vocabulaire des dizaines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tables de Seguin 1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 Interpréter les noms des nombres à l'aide des unités de numération et des écritures arithmétiques.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07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tables de Seguin 2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Interpréter les noms des nombres à l'aide des unités de numération et des écritures arithmétiques.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00" w:hRule="atLeast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193" w:type="dxa"/>
              <w:right w:w="193" w:type="dxa"/>
            </w:tcMar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chaînes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chaîne de 100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Faire le lien entre le rang dans une liste et le nombre d'éléments qui le précèdent.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10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chaîne de 1000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70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chaînes des multiples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Repérer un rang ou une position dans une file ou sur une piste.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5100" w:hRule="atLeast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193" w:type="dxa"/>
              <w:right w:w="193" w:type="dxa"/>
            </w:tcMar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système décimal</w:t>
            </w:r>
          </w:p>
          <w:p>
            <w:pPr>
              <w:pStyle w:val="Standard"/>
              <w:widowControl w:val="false"/>
              <w:bidi w:val="0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(la banque)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présentation des perles dorées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SC1 : Comprendre et utiliser des nombres entiers pour dénombrer, ordonner, repérer, comparer.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 : Nommer, lire, écrire, représenter des nombres entiers.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Dénombrer, constituer et comparer des collections.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Utiliser diverses stratégies de dénombrement.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shd w:fill="auto" w:val="clear"/>
              </w:rPr>
            </w:pPr>
            <w:r>
              <w:rPr>
                <w:rStyle w:val="Aucun"/>
                <w:shd w:fill="auto" w:val="clear"/>
                <w:lang w:val="fr-FR"/>
              </w:rPr>
              <w:t>Passer d'une représentation à une autre, en particulier associer les noms des nombres avec leurs écritures chiffrées.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Interpréter les noms des nombres à l'aide des unités de numération et des écritures arithmétiques.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76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symboles du système décimal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idem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79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L’association quantité symbole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idem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807" w:hRule="atLeast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193" w:type="dxa"/>
              <w:right w:w="193" w:type="dxa"/>
            </w:tcMar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L’approche des fractions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cercles partagés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FF0066"/>
                <w:u w:val="none" w:color="FF0066"/>
                <w:shd w:fill="auto" w:val="clear"/>
                <w14:textFill>
                  <w14:solidFill>
                    <w14:srgbClr w14:val="FF0066"/>
                  </w14:solidFill>
                </w14:textFill>
              </w:rPr>
            </w:pPr>
            <w:r>
              <w:rPr>
                <w:rStyle w:val="Aucun"/>
                <w:outline w:val="false"/>
                <w:color w:val="FF0066"/>
                <w:u w:val="none" w:color="FF0066"/>
                <w:shd w:fill="auto" w:val="clear"/>
                <w:lang w:val="fr-FR"/>
                <w14:textFill>
                  <w14:solidFill>
                    <w14:srgbClr w14:val="FF0066"/>
                  </w14:solidFill>
                </w14:textFill>
              </w:rPr>
              <w:t>SC1 : Utiliser et représenter les grands nombres entiers des fractions simples et les nombres décimaux.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07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premières opérations avec les fractions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FF0066"/>
                <w:u w:val="none" w:color="FF0066"/>
                <w:shd w:fill="auto" w:val="clear"/>
                <w14:textFill>
                  <w14:solidFill>
                    <w14:srgbClr w14:val="FF0066"/>
                  </w14:solidFill>
                </w14:textFill>
              </w:rPr>
            </w:pPr>
            <w:r>
              <w:rPr>
                <w:rStyle w:val="Aucun"/>
                <w:outline w:val="false"/>
                <w:color w:val="FF0066"/>
                <w:u w:val="none" w:color="FF0066"/>
                <w:shd w:fill="auto" w:val="clear"/>
                <w:lang w:val="fr-FR"/>
                <w14:textFill>
                  <w14:solidFill>
                    <w14:srgbClr w14:val="FF0066"/>
                  </w14:solidFill>
                </w14:textFill>
              </w:rPr>
              <w:t>SC3 : Résoudre des problèmes en utilisant des fractions simples, les nombres décimaux et le calcul.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Utiliser diverses représentations des nombres.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714" w:hRule="atLeast"/>
        </w:trPr>
        <w:tc>
          <w:tcPr>
            <w:tcW w:w="14570" w:type="dxa"/>
            <w:gridSpan w:val="8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udetableau"/>
              <w:widowControl w:val="false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</w:r>
          </w:p>
          <w:p>
            <w:pPr>
              <w:pStyle w:val="Contenudetableau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CALCULS</w:t>
            </w:r>
          </w:p>
        </w:tc>
      </w:tr>
      <w:tr>
        <w:trPr>
          <w:trHeight w:val="390" w:hRule="atLeast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B.O. 2016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CP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CE1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CE2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CM1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CM2</w:t>
            </w:r>
          </w:p>
        </w:tc>
      </w:tr>
      <w:tr>
        <w:trPr>
          <w:trHeight w:val="1530" w:hRule="atLeast"/>
        </w:trPr>
        <w:tc>
          <w:tcPr>
            <w:tcW w:w="23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sens des opérations (avec perles dorées)</w:t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L’addition statique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(sans retenue)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SC3 : Résoudre des problèmes en utilisant des nombres entiers et le calcul.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SC4 : Calculer avec des nombres entiers.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Standard"/>
        <w:ind w:left="108" w:right="0" w:hanging="108"/>
        <w:rPr/>
      </w:pPr>
      <w:r>
        <w:rPr/>
      </w:r>
    </w:p>
    <w:p>
      <w:pPr>
        <w:pStyle w:val="Standard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tbl>
      <w:tblPr>
        <w:tblW w:w="14572" w:type="dxa"/>
        <w:jc w:val="left"/>
        <w:tblInd w:w="216" w:type="dxa"/>
        <w:tblLayout w:type="fixed"/>
        <w:tblCellMar>
          <w:top w:w="80" w:type="dxa"/>
          <w:left w:w="193" w:type="dxa"/>
          <w:bottom w:w="80" w:type="dxa"/>
          <w:right w:w="193" w:type="dxa"/>
        </w:tblCellMar>
      </w:tblPr>
      <w:tblGrid>
        <w:gridCol w:w="2366"/>
        <w:gridCol w:w="2451"/>
        <w:gridCol w:w="4054"/>
        <w:gridCol w:w="1151"/>
        <w:gridCol w:w="1253"/>
        <w:gridCol w:w="1176"/>
        <w:gridCol w:w="930"/>
        <w:gridCol w:w="1189"/>
      </w:tblGrid>
      <w:tr>
        <w:trPr>
          <w:trHeight w:val="1184" w:hRule="atLeast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sens des opérations (avec perles dorées)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L’addition dynamique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(avec retenue)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x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4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soustraction statique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(sans retenue)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4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soustraction dynamique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(avec retenue)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shd w:fill="auto" w:val="clear"/>
                <w:lang w:val="fr-FR"/>
              </w:rPr>
              <w:t>x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1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multiplication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1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division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s"/>
        <w:ind w:left="108" w:right="0" w:hanging="108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tbl>
      <w:tblPr>
        <w:tblW w:w="14572" w:type="dxa"/>
        <w:jc w:val="left"/>
        <w:tblInd w:w="219" w:type="dxa"/>
        <w:tblLayout w:type="fixed"/>
        <w:tblCellMar>
          <w:top w:w="80" w:type="dxa"/>
          <w:left w:w="193" w:type="dxa"/>
          <w:bottom w:w="80" w:type="dxa"/>
          <w:right w:w="193" w:type="dxa"/>
        </w:tblCellMar>
      </w:tblPr>
      <w:tblGrid>
        <w:gridCol w:w="987"/>
        <w:gridCol w:w="1701"/>
        <w:gridCol w:w="2129"/>
        <w:gridCol w:w="4054"/>
        <w:gridCol w:w="1151"/>
        <w:gridCol w:w="1253"/>
        <w:gridCol w:w="1176"/>
        <w:gridCol w:w="930"/>
        <w:gridCol w:w="1189"/>
      </w:tblGrid>
      <w:tr>
        <w:trPr>
          <w:trHeight w:val="1805" w:hRule="atLeast"/>
        </w:trPr>
        <w:tc>
          <w:tcPr>
            <w:tcW w:w="987" w:type="dxa"/>
            <w:vMerge w:val="restart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Vers l’écriture des opérations</w:t>
            </w:r>
          </w:p>
          <w:p>
            <w:pPr>
              <w:pStyle w:val="Standard"/>
              <w:widowControl w:val="false"/>
              <w:bidi w:val="0"/>
              <w:ind w:left="113" w:right="113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Vers l’écriture des opérations (passage à l’abstraction)</w:t>
            </w:r>
          </w:p>
        </w:tc>
        <w:tc>
          <w:tcPr>
            <w:tcW w:w="3830" w:type="dxa"/>
            <w:gridSpan w:val="2"/>
            <w:tcBorders>
              <w:top w:val="single" w:sz="8" w:space="0" w:color="FFFFFF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Présentation des timbres</w:t>
            </w:r>
          </w:p>
        </w:tc>
        <w:tc>
          <w:tcPr>
            <w:tcW w:w="4054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>
                <w:rStyle w:val="Aucun"/>
                <w:outline w:val="false"/>
                <w:color w:val="2E74B5"/>
                <w:u w:val="none" w:color="2E74B5"/>
                <w:shd w:fill="auto" w:val="clear"/>
                <w14:textFill>
                  <w14:solidFill>
                    <w14:srgbClr w14:val="2E74B5"/>
                  </w14:solidFill>
                </w14:textFill>
              </w:rPr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SC2, 3 et 4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>
                <w:rStyle w:val="Aucun"/>
                <w:outline w:val="false"/>
                <w:color w:val="FF0066"/>
                <w:u w:val="none" w:color="FF0066"/>
                <w:shd w:fill="auto" w:val="clear"/>
                <w14:textFill>
                  <w14:solidFill>
                    <w14:srgbClr w14:val="FF0066"/>
                  </w14:solidFill>
                </w14:textFill>
              </w:rPr>
            </w:pPr>
            <w:r>
              <w:rPr>
                <w:rStyle w:val="Aucun"/>
                <w:outline w:val="false"/>
                <w:color w:val="FF0066"/>
                <w:u w:val="none" w:color="FF0066"/>
                <w:shd w:fill="auto" w:val="clear"/>
                <w:lang w:val="fr-FR"/>
                <w14:textFill>
                  <w14:solidFill>
                    <w14:srgbClr w14:val="FF0066"/>
                  </w14:solidFill>
                </w14:textFill>
              </w:rPr>
              <w:t>SC1 : Utiliser et représenter les grands nombres entiers des fractions simples et les nombres décimaux.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both"/>
              <w:rPr/>
            </w:pPr>
            <w:r>
              <w:rPr>
                <w:rStyle w:val="Aucun"/>
                <w:outline w:val="false"/>
                <w:color w:val="FF0066"/>
                <w:u w:val="none" w:color="FF0066"/>
                <w:shd w:fill="auto" w:val="clear"/>
                <w:lang w:val="fr-FR"/>
                <w14:textFill>
                  <w14:solidFill>
                    <w14:srgbClr w14:val="FF0066"/>
                  </w14:solidFill>
                </w14:textFill>
              </w:rPr>
              <w:t>SC2 : Calculer avec des nombres entiers et des nombres décimaux.</w:t>
            </w:r>
          </w:p>
        </w:tc>
        <w:tc>
          <w:tcPr>
            <w:tcW w:w="1151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Addition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statique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SC2, 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dynamique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Table des points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Boulier : statique et dynamique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Soustration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statique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SC2, 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dynamique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18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Boulier : statique et dynamique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4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Multiplication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multiplication statique à 1 chiffre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4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 : multiplication dynamique à 1 chiffre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806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boulier : à 1 chiffre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6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boulier : à 2 chiffres et plus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6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damier : multiplication à 1 chiffre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4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 xml:space="preserve">Le damier : multiplication de 2 à 4 chiffres 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4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Division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 à 1 chiffre (distributivité)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918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éprouvettes à 1 chiffre (distributivité)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55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timbres à 2 et 3 chiffres (en groupe)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38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12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Les éprouvettes à 2 et 3 chiffres (en groupe)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58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multiplication par 10,100 et 1000 (perles dorées)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SC2, 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2670" w:hRule="atLeast"/>
        </w:trPr>
        <w:tc>
          <w:tcPr>
            <w:tcW w:w="987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3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multiplication avec la disposition systématique de perles de couleurs = représentation de l’addition réitérée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(Compréhension des multiples)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both"/>
              <w:rPr/>
            </w:pPr>
            <w:r>
              <w:rPr>
                <w:rStyle w:val="Aucun"/>
                <w:outline w:val="false"/>
                <w:color w:val="2E74B5"/>
                <w:u w:val="none" w:color="2E74B5"/>
                <w:shd w:fill="auto" w:val="clear"/>
                <w:lang w:val="fr-FR"/>
                <w14:textFill>
                  <w14:solidFill>
                    <w14:srgbClr w14:val="2E74B5"/>
                  </w14:solidFill>
                </w14:textFill>
              </w:rPr>
              <w:t>SC2, 3 et 4</w:t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</w:tbl>
    <w:p>
      <w:pPr>
        <w:pStyle w:val="Corps"/>
        <w:ind w:left="110" w:right="0" w:hanging="110"/>
        <w:rPr/>
      </w:pPr>
      <w:r>
        <w:rPr/>
      </w:r>
    </w:p>
    <w:p>
      <w:pPr>
        <w:pStyle w:val="Corps"/>
        <w:ind w:left="2" w:right="0" w:hanging="2"/>
        <w:rPr/>
      </w:pPr>
      <w:r>
        <w:rPr/>
      </w:r>
    </w:p>
    <w:p>
      <w:pPr>
        <w:pStyle w:val="Corps"/>
        <w:rPr/>
      </w:pPr>
      <w:r>
        <w:rPr/>
      </w:r>
    </w:p>
    <w:p>
      <w:pPr>
        <w:pStyle w:val="Corps"/>
        <w:rPr/>
      </w:pPr>
      <w:r>
        <w:rPr/>
      </w:r>
    </w:p>
    <w:tbl>
      <w:tblPr>
        <w:tblW w:w="14572" w:type="dxa"/>
        <w:jc w:val="left"/>
        <w:tblInd w:w="219" w:type="dxa"/>
        <w:tblLayout w:type="fixed"/>
        <w:tblCellMar>
          <w:top w:w="80" w:type="dxa"/>
          <w:left w:w="193" w:type="dxa"/>
          <w:bottom w:w="80" w:type="dxa"/>
          <w:right w:w="193" w:type="dxa"/>
        </w:tblCellMar>
      </w:tblPr>
      <w:tblGrid>
        <w:gridCol w:w="2366"/>
        <w:gridCol w:w="1224"/>
        <w:gridCol w:w="1227"/>
        <w:gridCol w:w="4054"/>
        <w:gridCol w:w="1151"/>
        <w:gridCol w:w="1253"/>
        <w:gridCol w:w="1176"/>
        <w:gridCol w:w="930"/>
        <w:gridCol w:w="1189"/>
      </w:tblGrid>
      <w:tr>
        <w:trPr>
          <w:trHeight w:val="1153" w:hRule="atLeast"/>
        </w:trPr>
        <w:tc>
          <w:tcPr>
            <w:tcW w:w="2366" w:type="dxa"/>
            <w:vMerge w:val="restart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Vers l’écriture des opérations</w:t>
            </w:r>
          </w:p>
        </w:tc>
        <w:tc>
          <w:tcPr>
            <w:tcW w:w="2451" w:type="dxa"/>
            <w:gridSpan w:val="2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multiplication avec les timbres</w:t>
            </w:r>
          </w:p>
        </w:tc>
        <w:tc>
          <w:tcPr>
            <w:tcW w:w="4054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5330" w:hRule="atLeast"/>
        </w:trPr>
        <w:tc>
          <w:tcPr>
            <w:tcW w:w="2366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division à 2 et 3chiffres :</w:t>
            </w:r>
          </w:p>
        </w:tc>
        <w:tc>
          <w:tcPr>
            <w:tcW w:w="1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Cambria" w:hAnsi="Cambria" w:eastAsia="Cambria" w:cs="Cambria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Timbres : division de groupe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Cambria" w:hAnsi="Cambria" w:eastAsia="Cambria" w:cs="Cambria"/>
                <w:sz w:val="32"/>
                <w:szCs w:val="32"/>
                <w:shd w:fill="auto" w:val="clear"/>
                <w:lang w:val="fr-FR"/>
              </w:rPr>
            </w:pPr>
            <w:r>
              <w:rPr>
                <w:rFonts w:eastAsia="Cambria" w:cs="Cambria" w:ascii="Cambria" w:hAnsi="Cambria"/>
                <w:sz w:val="32"/>
                <w:szCs w:val="32"/>
                <w:shd w:fill="auto" w:val="clear"/>
                <w:lang w:val="fr-FR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>
                <w:rStyle w:val="Aucun"/>
                <w:rFonts w:ascii="Cambria" w:hAnsi="Cambria" w:eastAsia="Cambria" w:cs="Cambria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 xml:space="preserve">Eprouvettes : </w:t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Division distributive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30" w:hRule="atLeast"/>
        </w:trPr>
        <w:tc>
          <w:tcPr>
            <w:tcW w:w="2366" w:type="dxa"/>
            <w:vMerge w:val="continue"/>
            <w:tcBorders>
              <w:top w:val="single" w:sz="8" w:space="0" w:color="FFFFF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division avec les timbres (diviseur à 3 chiffres)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530" w:hRule="atLeast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sz w:val="40"/>
                <w:szCs w:val="40"/>
                <w:shd w:fill="auto" w:val="clear"/>
                <w:lang w:val="fr-FR"/>
              </w:rPr>
              <w:t>Mémorisation des opérations</w:t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serpent positif (complément à 10)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3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l’addition avec tables des réglettes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3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l’addition avec tables des doigts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29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serpent négatif : début de la mémorisation de la soustraction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1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la soustraction avec tables des réglettes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10" w:hRule="atLeast"/>
        </w:trPr>
        <w:tc>
          <w:tcPr>
            <w:tcW w:w="23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Standard"/>
              <w:widowControl w:val="false"/>
              <w:ind w:left="113" w:right="113" w:hanging="0"/>
              <w:jc w:val="center"/>
              <w:rPr/>
            </w:pPr>
            <w:r>
              <w:rPr>
                <w:rStyle w:val="Aucun"/>
                <w:sz w:val="40"/>
                <w:szCs w:val="40"/>
                <w:shd w:fill="auto" w:val="clear"/>
                <w:lang w:val="fr-FR"/>
              </w:rPr>
              <w:t>Mémorisation des opérations</w:t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la soustraction avec tables des doigts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</w:rPr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  <w:p>
            <w:pPr>
              <w:pStyle w:val="Standard"/>
              <w:widowControl w:val="false"/>
              <w:jc w:val="center"/>
              <w:rPr>
                <w:rStyle w:val="Aucun"/>
                <w:rFonts w:ascii="SimSun" w:hAnsi="SimSun" w:eastAsia="SimSun" w:cs="SimSun"/>
                <w:sz w:val="32"/>
                <w:szCs w:val="32"/>
                <w:shd w:fill="auto" w:val="clear"/>
                <w:lang w:val="zh-TW" w:eastAsia="zh-TW"/>
              </w:rPr>
            </w:pPr>
            <w:r>
              <w:rPr>
                <w:rFonts w:eastAsia="SimSun" w:cs="SimSun" w:ascii="SimSun" w:hAnsi="SimSun"/>
                <w:sz w:val="32"/>
                <w:szCs w:val="32"/>
                <w:shd w:fill="auto" w:val="clear"/>
                <w:lang w:val="zh-TW" w:eastAsia="zh-TW"/>
              </w:rPr>
            </w:r>
          </w:p>
          <w:p>
            <w:pPr>
              <w:pStyle w:val="Standard"/>
              <w:widowControl w:val="false"/>
              <w:bidi w:val="0"/>
              <w:ind w:left="0" w:right="0" w:hanging="0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1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des tables de multiplication avec la table perforée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91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la multiplication avec tables des doigts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keepNext w:val="false"/>
              <w:keepLines w:val="false"/>
              <w:widowControl w:val="false"/>
              <w:shd w:val="clear" w:color="auto" w:fill="auto"/>
              <w:suppressAutoHyphens w:val="false"/>
              <w:bidi w:val="0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rFonts w:eastAsia="Arial Unicode MS" w:cs="Arial Unicode MS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 w:color="000000"/>
                <w:shd w:fill="auto" w:val="clear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30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des tables de la division avec la table perforée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1533" w:hRule="atLeast"/>
        </w:trPr>
        <w:tc>
          <w:tcPr>
            <w:tcW w:w="2366" w:type="dxa"/>
            <w:vMerge w:val="continue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Mémorisation de la division avec tables des doigts</w:t>
            </w:r>
          </w:p>
        </w:tc>
        <w:tc>
          <w:tcPr>
            <w:tcW w:w="405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eastAsia="Arial Unicode MS" w:cs="Arial Unicode MS" w:ascii="Arial Unicode MS" w:hAnsi="Arial Unicode MS"/>
                <w:b w:val="false"/>
                <w:bCs w:val="false"/>
                <w:i w:val="false"/>
                <w:iCs w:val="false"/>
                <w:sz w:val="32"/>
                <w:szCs w:val="32"/>
                <w:shd w:fill="auto" w:val="clear"/>
                <w:lang w:val="fr-FR"/>
              </w:rPr>
              <w:t>֍</w:t>
            </w:r>
          </w:p>
        </w:tc>
        <w:tc>
          <w:tcPr>
            <w:tcW w:w="125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DEEAF6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400" w:hRule="atLeast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Les nombres décimaux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chandelier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1160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La table des hiérarchies (tableau jaune)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780" w:hRule="atLeast"/>
        </w:trPr>
        <w:tc>
          <w:tcPr>
            <w:tcW w:w="23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rFonts w:ascii="Cambria" w:hAnsi="Cambria"/>
                <w:sz w:val="32"/>
                <w:szCs w:val="32"/>
                <w:shd w:fill="auto" w:val="clear"/>
                <w:lang w:val="fr-FR"/>
              </w:rPr>
              <w:t>Le damier des décimaux</w:t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Style w:val="Aucun"/>
                <w:sz w:val="32"/>
                <w:szCs w:val="32"/>
                <w:shd w:fill="auto" w:val="clear"/>
                <w:lang w:val="fr-FR"/>
              </w:rPr>
              <w:t>X</w:t>
            </w:r>
          </w:p>
        </w:tc>
      </w:tr>
      <w:tr>
        <w:trPr>
          <w:trHeight w:val="400" w:hRule="atLeas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400" w:hRule="atLeast"/>
        </w:trPr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4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E2F3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BE4D5" w:val="clear"/>
            <w:tcMar>
              <w:left w:w="80" w:type="dxa"/>
              <w:right w:w="80" w:type="dxa"/>
            </w:tcMar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Corps"/>
        <w:ind w:left="110" w:right="0" w:hanging="110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1134" w:header="720" w:top="1134" w:footer="72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 Neue">
    <w:charset w:val="01"/>
    <w:family w:val="roman"/>
    <w:pitch w:val="variable"/>
  </w:font>
  <w:font w:name="Arial Unicode MS">
    <w:charset w:val="01"/>
    <w:family w:val="roman"/>
    <w:pitch w:val="variable"/>
  </w:font>
  <w:font w:name="SimSun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jc w:val="center"/>
      <w:rPr/>
    </w:pPr>
    <w:r>
      <w:rPr/>
      <w:t xml:space="preserve">Document élaboré par un groupe départemental de </w:t>
    </w:r>
    <w:r>
      <w:rPr>
        <w:i/>
        <w:iCs/>
      </w:rPr>
      <w:t>Public Montessori</w:t>
    </w:r>
    <w:r>
      <w:rPr/>
      <w:t xml:space="preserve">     </w:t>
    </w:r>
    <w:hyperlink r:id="rId1">
      <w:r>
        <w:rPr>
          <w:rStyle w:val="LienInternet"/>
        </w:rPr>
        <w:t>https://www.public-montessori.fr/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bidi w:val="0"/>
      <w:rPr/>
    </w:pPr>
    <w:r>
      <w:rPr/>
    </w:r>
  </w:p>
</w:hdr>
</file>

<file path=word/settings.xml><?xml version="1.0" encoding="utf-8"?>
<w:settings xmlns:w="http://schemas.openxmlformats.org/wordprocessingml/2006/main">
  <w:zoom w:percent="49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LienInternet">
    <w:name w:val="Lien Internet"/>
    <w:rPr>
      <w:u w:val="single" w:color="FFFFFF"/>
    </w:rPr>
  </w:style>
  <w:style w:type="character" w:styleId="Aucun">
    <w:name w:val="Aucun"/>
    <w:qFormat/>
    <w:rPr>
      <w:lang w:val="fr-FR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 Unicode M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Entteetpieddepage">
    <w:name w:val="En-tête et pied de page"/>
    <w:basedOn w:val="Normal"/>
    <w:qFormat/>
    <w:pPr/>
    <w:rPr/>
  </w:style>
  <w:style w:type="paragraph" w:styleId="Entte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09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fr-FR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Contenudetableau">
    <w:name w:val="Contenu de tableau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Corps">
    <w:name w:val="Corps"/>
    <w:qFormat/>
    <w:pPr>
      <w:keepNext w:val="false"/>
      <w:keepLines w:val="false"/>
      <w:pageBreakBefore w:val="false"/>
      <w:widowControl w:val="false"/>
      <w:pBdr/>
      <w:shd w:val="clear" w:color="auto" w:fill="auto"/>
      <w:suppressAutoHyphens w:val="tru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2"/>
      <w:position w:val="0"/>
      <w:sz w:val="24"/>
      <w:sz w:val="24"/>
      <w:szCs w:val="24"/>
      <w:u w:val="none" w:color="000000"/>
      <w:shd w:fill="auto" w:val="clear"/>
      <w:vertAlign w:val="baseline"/>
      <w:lang w:val="fr-FR" w:eastAsia="zh-CN" w:bidi="hi-IN"/>
      <w14:textFill>
        <w14:solidFill>
          <w14:srgbClr w14:val="000000"/>
        </w14:solidFill>
      </w14:textFill>
    </w:rPr>
  </w:style>
  <w:style w:type="paragraph" w:styleId="Pieddepage">
    <w:name w:val="Footer"/>
    <w:basedOn w:val="Entteetpieddepage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public-montessori.f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LibreOffice/7.1.5.2$MacOSX_X86_64 LibreOffice_project/85f04e9f809797b8199d13c421bd8a2b025d52b5</Application>
  <AppVersion>15.0000</AppVersion>
  <Pages>13</Pages>
  <Words>1145</Words>
  <Characters>5634</Characters>
  <CharactersWithSpaces>6447</CharactersWithSpaces>
  <Paragraphs>344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fr-FR</dc:language>
  <cp:lastModifiedBy>Stéphanie Marchand</cp:lastModifiedBy>
  <dcterms:modified xsi:type="dcterms:W3CDTF">2023-11-05T08:22:25Z</dcterms:modified>
  <cp:revision>1</cp:revision>
  <dc:subject/>
  <dc:title/>
</cp:coreProperties>
</file>